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Eastmont School District #206 Policy No. 4130 Community Relations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8"/>
          <w:szCs w:val="28"/>
          <w:u w:val="none"/>
          <w:shd w:fill="auto" w:val="clear"/>
          <w:vertAlign w:val="baseline"/>
        </w:rPr>
      </w:pPr>
      <w:r w:rsidDel="00000000" w:rsidR="00000000" w:rsidRPr="00000000">
        <w:rPr>
          <w:rFonts w:ascii="Helvetica" w:cs="Helvetica" w:eastAsia="Helvetica" w:hAnsi="Helvetica"/>
          <w:b w:val="1"/>
          <w:i w:val="0"/>
          <w:smallCaps w:val="0"/>
          <w:strike w:val="0"/>
          <w:color w:val="000000"/>
          <w:sz w:val="28"/>
          <w:szCs w:val="28"/>
          <w:u w:val="none"/>
          <w:shd w:fill="auto" w:val="clear"/>
          <w:vertAlign w:val="baseline"/>
          <w:rtl w:val="0"/>
        </w:rPr>
        <w:t xml:space="preserve">TITLE I PARENTAL INVOLVEMENT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I. The Board recognizes that parent involvement contributes to the achievement of</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academic standards by students participating in district programs. The Board views the education of students as a cooperative effort among school, parents and community. The Board expects that its schools will carry out programs, activities and procedures in accordance with the statutory definition of parental involvement. Parental involvement means the participation of parents in regular, two-way, and meaningful communication involving student academic learning and other school activities, including ensuring that parents: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 Play an integral role in assisting their child’s learning B. Are encouraged to be actively involved in their child’s education at school;</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and C. Are full partners in their child’s education and are included, as appropriate, in decision-making and on advisory committees to assist in the education of their child.</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II. The board of directors adopts as part of this policy the following guidance for</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parent involvement. The District shall:</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 Put into operation programs, activities and procedures for the involvement of</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parents in all of its Title I schools consistent with federal laws including the development and evaluation of policy. Those programs, activities and procedures will be planned and operated with meaningful consultation with parents of participating children;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B. Provide the coordination, technical assistance and other support necessary to</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assist participating schools in the planning and implementing of effective parent involvement activities to improve student academic achievement and school performance.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C. Build the schools’ and parents’ capacity for strong parental involvement; D. Coordinate and integrate Title I parental involvement strategies with parent involvement strategies under other programs, such as Head Start, Reading First, Early Reading First, Even Start, Parents As Teachers, Home Instruction, Preschool Youngsters, State-run preschools; E. Conduct, with the involvement of parents, an annual evaluation of the content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and effectiveness of this policy in improving the academic quality of the schools served with Title 1 funds including: identifying barriers to greater participation of parents in Title I-related activities, with particular attention to participation of parents with limited English proficiency, parents with disabilities and parents of migratory children; and</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Adopted 10/27/03; Revised 1/12/09; Page 1 of 2</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Eastmont School District #206 Policy No. 4130 Community Relations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F. Involve the parents of children served in Title 1, Part A schools in decision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about how the Title I, Part A funds reserved for parental involvement are spent.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Legal Reference: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PL 107-110, Section 1118(a)</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Management Resources: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Policy News, October 2008 Family Involvement Policy Policy News, June 2005 Title I Parent Involvement Policy Policy News, August 2003 No Child Left Behind Update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Adopted 10/27/03; Revised 1/12/09; Page 2 of 2</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