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Assistance Program (LAP) Overview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What is LAP? </w:t>
      </w:r>
      <w:r w:rsidDel="00000000" w:rsidR="00000000" w:rsidRPr="00000000">
        <w:rPr>
          <w:rtl w:val="0"/>
        </w:rPr>
        <w:t xml:space="preserve"> LAP is a state funded program to provide supplemental services for K-12 students who are not meeting academic standards in ELA and/or Math to accelerate their learning so they can reach grade level standards.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LAP Q &amp; 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Students Eligible: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student is eligible for LAP Services if he/she scores below standard in ELA or mathematics for his or her grade level using multiple measures of performance. LAP serves eligible students in: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ELA (K–12)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Mathematics (K–12)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Academic Readiness (K-2)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Reducing Disruptive Behaviors (K–12)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Transition Services for students transitioning into kindergarten and into high school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Graduation Assistance (11-12)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LAP Expenditure Guidelines: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LAP funds must </w:t>
      </w:r>
      <w:r w:rsidDel="00000000" w:rsidR="00000000" w:rsidRPr="00000000">
        <w:rPr>
          <w:u w:val="single"/>
          <w:rtl w:val="0"/>
        </w:rPr>
        <w:t xml:space="preserve">primarily</w:t>
      </w:r>
      <w:r w:rsidDel="00000000" w:rsidR="00000000" w:rsidRPr="00000000">
        <w:rPr>
          <w:rtl w:val="0"/>
        </w:rPr>
        <w:t xml:space="preserve"> be spent on helping K-4 students reach grade level standard in ELA.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All expenditures must be approved by the LAP Director at least two weeks prior by completing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LAP Pre-Approval Form</w:t>
        </w:r>
      </w:hyperlink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color w:val="ff0000"/>
          <w:rtl w:val="0"/>
        </w:rPr>
        <w:t xml:space="preserve">Use of LAP funds must be supported by the menus of best practice in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ELA</w:t>
        </w:r>
      </w:hyperlink>
      <w:r w:rsidDel="00000000" w:rsidR="00000000" w:rsidRPr="00000000">
        <w:rPr>
          <w:color w:val="ff0000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Math</w:t>
        </w:r>
      </w:hyperlink>
      <w:r w:rsidDel="00000000" w:rsidR="00000000" w:rsidRPr="00000000">
        <w:rPr>
          <w:color w:val="ff0000"/>
          <w:rtl w:val="0"/>
        </w:rPr>
        <w:t xml:space="preserve">, and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Behavior</w:t>
        </w:r>
      </w:hyperlink>
      <w:r w:rsidDel="00000000" w:rsidR="00000000" w:rsidRPr="00000000">
        <w:rPr>
          <w:color w:val="ff0000"/>
          <w:rtl w:val="0"/>
        </w:rPr>
        <w:t xml:space="preserve">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Below are some examples of allowable expenditures: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Staff for implementing intervention in ELA, Math, and/or Behavior.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Intervention instructional materials.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Professional Development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Increase and support parent involvement of at-risk students.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Providing intervention beyond the school day.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Readiness to Learn partnership with community resource (Up to 5% of Main LAP allocation) OR our own RTL program (in-house)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Consultant teachers to assist in implementing effective instructional practices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Funding Allocation: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 LAP Funds: PPE (Per Pupil Expenditure) x # of F/R Lunch students.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Poverty Funds:  To be eligible, school must have 50% or more students that qualify for F/R Lunch. Must supplement not supplant the LAP base allocation and must go to the school that generated the allocation.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 to 10% carryover into the following school year is allowed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LAP Eligibility and Growth Criteria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Annual Reporting Requirements:</w:t>
      </w:r>
      <w:r w:rsidDel="00000000" w:rsidR="00000000" w:rsidRPr="00000000">
        <w:rPr>
          <w:rtl w:val="0"/>
        </w:rPr>
        <w:t xml:space="preserve"> The following data must be collected and reported for each LAP student served by a staff member at each school site: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and end dates of each LAP student served.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 and post test scores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 of service received by each student.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Amount of academic growth of each student.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services are provided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dDVbi8U7WkaqVJIuNWMNP5TQVWEW7IKLpX34SPAKSZ8" TargetMode="External"/><Relationship Id="rId10" Type="http://schemas.openxmlformats.org/officeDocument/2006/relationships/hyperlink" Target="http://www.k12.wa.us/SSEO/BehaviorMenu.aspx" TargetMode="External"/><Relationship Id="rId9" Type="http://schemas.openxmlformats.org/officeDocument/2006/relationships/hyperlink" Target="http://www.k12.wa.us/SSEO/MathMenuBestPractice.aspx" TargetMode="External"/><Relationship Id="rId5" Type="http://schemas.openxmlformats.org/officeDocument/2006/relationships/styles" Target="styles.xml"/><Relationship Id="rId6" Type="http://schemas.openxmlformats.org/officeDocument/2006/relationships/hyperlink" Target="http://k12.wa.us/LAP/pubdocs/LAPQandA.pdf" TargetMode="External"/><Relationship Id="rId7" Type="http://schemas.openxmlformats.org/officeDocument/2006/relationships/hyperlink" Target="https://docs.google.com/document/u/0/?ftv=1&amp;tgif=d" TargetMode="External"/><Relationship Id="rId8" Type="http://schemas.openxmlformats.org/officeDocument/2006/relationships/hyperlink" Target="http://www.k12.wa.us/SSEO/ELAMenuBestPract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